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9D" w:rsidRDefault="000C322A" w:rsidP="00F4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Аналіз регуляторного впливу</w:t>
      </w:r>
    </w:p>
    <w:p w:rsidR="0075259D" w:rsidRDefault="000C322A" w:rsidP="00F4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проєкту рішення виконавчого комітету Коломийської міської ради «Про встановлення тарифів на перевезення пасажирів у міському пасажирському транспорті загального користування»</w:t>
      </w:r>
    </w:p>
    <w:p w:rsidR="0075259D" w:rsidRDefault="00752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259D" w:rsidRPr="000C322A" w:rsidRDefault="000C322A" w:rsidP="00F426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0C322A">
        <w:rPr>
          <w:rFonts w:ascii="Times New Roman" w:eastAsia="Times New Roman" w:hAnsi="Times New Roman" w:cs="Times New Roman"/>
          <w:sz w:val="28"/>
        </w:rPr>
        <w:t xml:space="preserve">Аналіз регуляторного впливу розроблено на виконання плану діяльності з підготовки проєктів регуляторних актів на 2021 рік, затвердженого рішенням Коломийської міської ради від 30.08.2021 р. </w:t>
      </w:r>
      <w:r w:rsidRPr="000C322A">
        <w:rPr>
          <w:rFonts w:ascii="Times New Roman" w:eastAsia="Segoe UI Symbol" w:hAnsi="Times New Roman" w:cs="Times New Roman"/>
          <w:sz w:val="28"/>
        </w:rPr>
        <w:t>№</w:t>
      </w:r>
      <w:r w:rsidRPr="000C322A">
        <w:rPr>
          <w:rFonts w:ascii="Times New Roman" w:eastAsia="Times New Roman" w:hAnsi="Times New Roman" w:cs="Times New Roman"/>
          <w:sz w:val="28"/>
        </w:rPr>
        <w:t xml:space="preserve">1040-18/2021 «Про доповнення до рішення міської ради від 17.12.2020 р. </w:t>
      </w:r>
      <w:r w:rsidRPr="000C322A">
        <w:rPr>
          <w:rFonts w:ascii="Times New Roman" w:eastAsia="Segoe UI Symbol" w:hAnsi="Times New Roman" w:cs="Times New Roman"/>
          <w:sz w:val="28"/>
        </w:rPr>
        <w:t>№</w:t>
      </w:r>
      <w:r w:rsidRPr="000C322A">
        <w:rPr>
          <w:rFonts w:ascii="Times New Roman" w:eastAsia="Times New Roman" w:hAnsi="Times New Roman" w:cs="Times New Roman"/>
          <w:sz w:val="28"/>
        </w:rPr>
        <w:t>27-3/2020 «Про затвердження Плану діяльності з підготовки проектів рег</w:t>
      </w:r>
      <w:r>
        <w:rPr>
          <w:rFonts w:ascii="Times New Roman" w:eastAsia="Times New Roman" w:hAnsi="Times New Roman" w:cs="Times New Roman"/>
          <w:sz w:val="28"/>
        </w:rPr>
        <w:t xml:space="preserve">уляторних актів на 2021 рік», </w:t>
      </w:r>
      <w:r w:rsidRPr="000C322A">
        <w:rPr>
          <w:rFonts w:ascii="Times New Roman" w:eastAsia="Times New Roman" w:hAnsi="Times New Roman" w:cs="Times New Roman"/>
          <w:sz w:val="28"/>
        </w:rPr>
        <w:t xml:space="preserve">з дотриманням вимог статті 8 Закону України від 11.09.2003р. </w:t>
      </w:r>
      <w:r w:rsidRPr="000C322A">
        <w:rPr>
          <w:rFonts w:ascii="Times New Roman" w:eastAsia="Segoe UI Symbol" w:hAnsi="Times New Roman" w:cs="Times New Roman"/>
          <w:sz w:val="28"/>
        </w:rPr>
        <w:t>№</w:t>
      </w:r>
      <w:r w:rsidRPr="000C322A">
        <w:rPr>
          <w:rFonts w:ascii="Times New Roman" w:eastAsia="Times New Roman" w:hAnsi="Times New Roman" w:cs="Times New Roman"/>
          <w:sz w:val="28"/>
        </w:rPr>
        <w:t xml:space="preserve">1160-IV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11.03.2004р. </w:t>
      </w:r>
      <w:r w:rsidRPr="000C322A">
        <w:rPr>
          <w:rFonts w:ascii="Times New Roman" w:eastAsia="Segoe UI Symbol" w:hAnsi="Times New Roman" w:cs="Times New Roman"/>
          <w:sz w:val="28"/>
        </w:rPr>
        <w:t>№</w:t>
      </w:r>
      <w:r w:rsidRPr="000C322A">
        <w:rPr>
          <w:rFonts w:ascii="Times New Roman" w:eastAsia="Times New Roman" w:hAnsi="Times New Roman" w:cs="Times New Roman"/>
          <w:sz w:val="28"/>
        </w:rPr>
        <w:t xml:space="preserve"> 308 зі змінами.</w:t>
      </w:r>
      <w:r w:rsidRPr="000C322A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75259D" w:rsidRDefault="0075259D" w:rsidP="00F426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C322A" w:rsidRDefault="000C322A" w:rsidP="00F4266D">
      <w:pPr>
        <w:spacing w:after="0" w:line="240" w:lineRule="auto"/>
        <w:ind w:left="22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І. Визначення проблеми.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Ефективне функціонування громадського транспорту є однією з головних умов комфортного проживання та соціально-економічного розвитку міста.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Проблема, яку </w:t>
      </w:r>
      <w:r w:rsidR="00BC33E2" w:rsidRPr="00BC33E2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пропонується</w:t>
      </w:r>
      <w:r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вирішити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шляхом прийняття даного рішення, полягає у збалансуванні інтересів </w:t>
      </w:r>
      <w:r w:rsidR="00BC33E2">
        <w:rPr>
          <w:rFonts w:ascii="Times New Roman" w:eastAsia="Times New Roman" w:hAnsi="Times New Roman" w:cs="Times New Roman"/>
          <w:sz w:val="28"/>
        </w:rPr>
        <w:t>органу</w:t>
      </w:r>
      <w:r>
        <w:rPr>
          <w:rFonts w:ascii="Times New Roman" w:eastAsia="Times New Roman" w:hAnsi="Times New Roman" w:cs="Times New Roman"/>
          <w:sz w:val="28"/>
        </w:rPr>
        <w:t xml:space="preserve">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суб’єктів господарювання на автомобільному транспорті незалежно від форм власності.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Відповідно до підпункту 2 пункту «а» статті 28 Закону України «Про місцеве самоврядування в Україні» до повноважень місь</w:t>
      </w:r>
      <w:r w:rsidR="00F4266D">
        <w:rPr>
          <w:rFonts w:ascii="Times New Roman" w:eastAsia="Times New Roman" w:hAnsi="Times New Roman" w:cs="Times New Roman"/>
          <w:sz w:val="28"/>
        </w:rPr>
        <w:t xml:space="preserve">ких рад належить встановлення </w:t>
      </w:r>
      <w:proofErr w:type="gramStart"/>
      <w:r w:rsidR="00F4266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порядку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і межах, визначених законодавством, тарифів на транспортні послуги.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Тарифи на транспортні послуги на міських автобусних маршрутах загального користування в місті Коломиї були встановлені рішенням виконавчого комітету Коломийської міської ради від 18.12.2018 року </w:t>
      </w:r>
      <w:r w:rsidRPr="00522069">
        <w:rPr>
          <w:rFonts w:ascii="Times New Roman" w:eastAsia="Segoe UI Symbol" w:hAnsi="Times New Roman" w:cs="Times New Roman"/>
          <w:sz w:val="28"/>
        </w:rPr>
        <w:t>№</w:t>
      </w:r>
      <w:r w:rsidRPr="00522069">
        <w:rPr>
          <w:rFonts w:ascii="Times New Roman" w:eastAsia="Times New Roman" w:hAnsi="Times New Roman" w:cs="Times New Roman"/>
          <w:sz w:val="28"/>
        </w:rPr>
        <w:t xml:space="preserve"> 316</w:t>
      </w:r>
      <w:r>
        <w:rPr>
          <w:rFonts w:ascii="Times New Roman" w:eastAsia="Times New Roman" w:hAnsi="Times New Roman" w:cs="Times New Roman"/>
          <w:sz w:val="28"/>
        </w:rPr>
        <w:t xml:space="preserve"> «Про встановлення тарифів на перевезення пасажирів у міському сполученні».</w:t>
      </w:r>
    </w:p>
    <w:p w:rsidR="0075259D" w:rsidRDefault="000C322A" w:rsidP="00F42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Відповідно пункту 1.6 наказу Міністерства транспорту та зв’язку України від 17.11.2009 </w:t>
      </w:r>
      <w:r w:rsidRPr="00522069">
        <w:rPr>
          <w:rFonts w:ascii="Times New Roman" w:eastAsia="Segoe UI Symbol" w:hAnsi="Times New Roman" w:cs="Times New Roman"/>
          <w:sz w:val="28"/>
        </w:rPr>
        <w:t>№</w:t>
      </w:r>
      <w:r w:rsidRPr="00522069">
        <w:rPr>
          <w:rFonts w:ascii="Times New Roman" w:eastAsia="Times New Roman" w:hAnsi="Times New Roman" w:cs="Times New Roman"/>
          <w:sz w:val="28"/>
        </w:rPr>
        <w:t xml:space="preserve"> 1175</w:t>
      </w:r>
      <w:r>
        <w:rPr>
          <w:rFonts w:ascii="Times New Roman" w:eastAsia="Times New Roman" w:hAnsi="Times New Roman" w:cs="Times New Roman"/>
          <w:sz w:val="28"/>
        </w:rPr>
        <w:t xml:space="preserve"> «Про затвердження Методики розрахунку тарифів на послуги пасажирського автомобільного транспорту» перегляд рівня тарифів повинен здійснюватись у зв’язку зі зміною умов виробничої діяльності та реалізації послуг пасажирського автомобільного транспорту, що не залежать від господарської діяльності перевізника, в тому числі в разі зміни вартості палива більш ніж на 10 %.</w:t>
      </w:r>
    </w:p>
    <w:p w:rsidR="0075259D" w:rsidRDefault="000C322A" w:rsidP="00F4266D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сьогоднішній день суб’єкти господарювання, які здійснюють міські пасажирські перевезення автомобільним транспортом знаходяться у стані низької рентабельності, що спричинено невідповідністю діючих тарифів на послуги пасажирських перевезень фактичним витратам. 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Основною проблемою, що склалася на даний час є невідповідність собівартості перевезень діючому тарифу.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Існуюча проблема ставить під загрозу стабільність забезпечення населення послугами з пасажирських перевезень і призводить до:</w:t>
      </w:r>
    </w:p>
    <w:p w:rsidR="0075259D" w:rsidRDefault="000C322A" w:rsidP="00F4266D">
      <w:pPr>
        <w:numPr>
          <w:ilvl w:val="0"/>
          <w:numId w:val="1"/>
        </w:num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незадовільного технічного стану автобусів;</w:t>
      </w:r>
    </w:p>
    <w:p w:rsidR="0075259D" w:rsidRDefault="000C322A" w:rsidP="00F4266D">
      <w:pPr>
        <w:numPr>
          <w:ilvl w:val="0"/>
          <w:numId w:val="1"/>
        </w:num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зниження регулярності виходу на </w:t>
      </w:r>
      <w:r w:rsidR="00BC33E2">
        <w:rPr>
          <w:rFonts w:ascii="Times New Roman" w:eastAsia="Times New Roman" w:hAnsi="Times New Roman" w:cs="Times New Roman"/>
          <w:sz w:val="28"/>
          <w:lang w:val="uk-UA"/>
        </w:rPr>
        <w:t>рейсові маршрути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5259D" w:rsidRDefault="000C322A" w:rsidP="00F4266D">
      <w:pPr>
        <w:numPr>
          <w:ilvl w:val="0"/>
          <w:numId w:val="1"/>
        </w:num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відсутність водіїв та технічних працівників високої кваліфікації.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Негативним наслідком невідповідності тарифу рівню економічно-обґрунтованих витрат є подальший фізичний знос основних засобів підприємств, що може призвести до підвищення аварійності та зниження безпеки послуги пасажирських перевезень.  </w:t>
      </w:r>
    </w:p>
    <w:p w:rsidR="0075259D" w:rsidRDefault="000C322A" w:rsidP="00F4266D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Робота громадського транспорту у форматі, передбаченому вимогами постанови Кабінету Міністрів України від 09 грудня 2020 року </w:t>
      </w:r>
      <w:r w:rsidRPr="00522069">
        <w:rPr>
          <w:rFonts w:ascii="Times New Roman" w:eastAsia="Segoe UI Symbol" w:hAnsi="Times New Roman" w:cs="Times New Roman"/>
          <w:sz w:val="28"/>
        </w:rPr>
        <w:t>№</w:t>
      </w:r>
      <w:r w:rsidRPr="005220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не дозволяє одночасно перевозити в салоні транспортного засобу пасажирів більше ніж місць для сидіння. Зазвичай – це 23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пасажири (в залежності від марки та моделі транспортного засобу).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Погодження вартості проїзду дозволить органам місцевого самоврядування оптимально збалансувати інтереси споживачів транспортних послуг та суб’єктів підприємницької діяльності – перевізників, зберегти існуючий рухомий склад пасажирського транспорту в місті.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Чіткий розрахунок вартості проїзду у міському пасажирському транспорті надасть змогу суб’єктам господарювання прогнозувати та передбачувати беззбиткове ведення діяльності.</w:t>
      </w:r>
    </w:p>
    <w:p w:rsidR="0075259D" w:rsidRDefault="000C322A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Даний проєкт рішення підготовлений з метою приведення тарифу на перевезення пасажирів міським </w:t>
      </w:r>
      <w:r w:rsidR="00BC33E2">
        <w:rPr>
          <w:rFonts w:ascii="Times New Roman" w:eastAsia="Times New Roman" w:hAnsi="Times New Roman" w:cs="Times New Roman"/>
          <w:sz w:val="28"/>
          <w:lang w:val="uk-UA"/>
        </w:rPr>
        <w:t>пасажирським</w:t>
      </w:r>
      <w:r>
        <w:rPr>
          <w:rFonts w:ascii="Times New Roman" w:eastAsia="Times New Roman" w:hAnsi="Times New Roman" w:cs="Times New Roman"/>
          <w:sz w:val="28"/>
        </w:rPr>
        <w:t xml:space="preserve"> транспортом до економічно обґрунтованого рівня. </w:t>
      </w:r>
    </w:p>
    <w:p w:rsidR="007E6BCC" w:rsidRDefault="007E6BCC" w:rsidP="00F426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Підготовлений на основі </w:t>
      </w:r>
      <w:r w:rsidR="00535356">
        <w:rPr>
          <w:rFonts w:ascii="Times New Roman" w:eastAsia="Times New Roman" w:hAnsi="Times New Roman" w:cs="Times New Roman"/>
          <w:sz w:val="28"/>
          <w:lang w:val="uk-UA"/>
        </w:rPr>
        <w:t xml:space="preserve">наданих перевізниками </w:t>
      </w:r>
      <w:r w:rsidR="00535356">
        <w:rPr>
          <w:rFonts w:ascii="Times New Roman" w:eastAsia="Times New Roman" w:hAnsi="Times New Roman" w:cs="Times New Roman"/>
          <w:sz w:val="28"/>
        </w:rPr>
        <w:t>розрахунків</w:t>
      </w:r>
      <w:r>
        <w:rPr>
          <w:rFonts w:ascii="Times New Roman" w:eastAsia="Times New Roman" w:hAnsi="Times New Roman" w:cs="Times New Roman"/>
          <w:sz w:val="28"/>
        </w:rPr>
        <w:t xml:space="preserve"> тарифу проєкт рішення виконавчого комітету Коломийської міської ради «Про встановлення тарифів на перевезення пасажирів у міському пасажирському транспорті загального користування» надасть підприємствам-перевізникам можливість спрямувати кошти на </w:t>
      </w:r>
      <w:r w:rsidR="00BC33E2">
        <w:rPr>
          <w:rFonts w:ascii="Times New Roman" w:eastAsia="Times New Roman" w:hAnsi="Times New Roman" w:cs="Times New Roman"/>
          <w:sz w:val="28"/>
        </w:rPr>
        <w:t>оновлення рухомого складу,</w:t>
      </w:r>
      <w:r w:rsidR="00F4266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C33E2">
        <w:rPr>
          <w:rFonts w:ascii="Times New Roman" w:eastAsia="Times New Roman" w:hAnsi="Times New Roman" w:cs="Times New Roman"/>
          <w:sz w:val="28"/>
        </w:rPr>
        <w:t xml:space="preserve">підвищення безпеки перевезень, </w:t>
      </w:r>
      <w:r>
        <w:rPr>
          <w:rFonts w:ascii="Times New Roman" w:eastAsia="Times New Roman" w:hAnsi="Times New Roman" w:cs="Times New Roman"/>
          <w:sz w:val="28"/>
        </w:rPr>
        <w:t>забезпечити належне виконання графіків руху транспортних засобів.</w:t>
      </w:r>
    </w:p>
    <w:p w:rsidR="0075259D" w:rsidRDefault="000C322A" w:rsidP="00F42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Основні групи (підгрупи), на які проблема справляє вплив</w:t>
      </w:r>
    </w:p>
    <w:p w:rsidR="0075259D" w:rsidRDefault="000C322A" w:rsidP="00F42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Проблема, яку необхідно вирішити шляхом прийняття цього рішення, полягає у збалансуванні інтересів, прав та обов’язків таких сторін: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органу місцевого самоврядування;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суб’єктів господарської діяльності, які надають послуги з перевезення пасажирів на міських автобусних маршрутах;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споживачів послуг міського пасажирського транспорту загального користування.</w:t>
      </w:r>
    </w:p>
    <w:p w:rsidR="0075259D" w:rsidRDefault="007525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131"/>
        <w:gridCol w:w="3115"/>
      </w:tblGrid>
      <w:tr w:rsidR="0075259D">
        <w:trPr>
          <w:trHeight w:val="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Групи (підгрупи)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Так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Ні</w:t>
            </w:r>
          </w:p>
        </w:tc>
      </w:tr>
      <w:tr w:rsidR="0075259D">
        <w:trPr>
          <w:trHeight w:val="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Громадяни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59D">
        <w:trPr>
          <w:trHeight w:val="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 місцевого самоврядування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59D">
        <w:trPr>
          <w:trHeight w:val="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Суб'єкти господарювання, у тому числі: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59D">
        <w:trPr>
          <w:trHeight w:val="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суб'єкти малого підприємництва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5259D" w:rsidRDefault="0075259D">
      <w:pPr>
        <w:spacing w:after="0" w:line="360" w:lineRule="auto"/>
        <w:ind w:left="18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Визначена проблема не може бути розв’язана за допомогою ринкових механізмів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зв’язку з тим, що державою прийнято низку законів та інших нормативних документів, які регламентують діяльність виконавчих органів місцевого самоврядування в цьому напрямку. Це означає, що існує потреба в державному регулюванні та прийнятті відповідного регуляторного акту на місцевому рівні.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Визначена проблема не може бути розв’язана за допомогою діючих регуляторних актів, </w:t>
      </w:r>
      <w:r>
        <w:rPr>
          <w:rFonts w:ascii="Times New Roman" w:eastAsia="Times New Roman" w:hAnsi="Times New Roman" w:cs="Times New Roman"/>
          <w:sz w:val="28"/>
        </w:rPr>
        <w:t>тому що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тариф на транспортні послуги на міських автобусних мар</w:t>
      </w:r>
      <w:r w:rsidR="007E6BCC">
        <w:rPr>
          <w:rFonts w:ascii="Times New Roman" w:eastAsia="Times New Roman" w:hAnsi="Times New Roman" w:cs="Times New Roman"/>
          <w:sz w:val="28"/>
        </w:rPr>
        <w:t xml:space="preserve">шрутах загального користування </w:t>
      </w:r>
      <w:r>
        <w:rPr>
          <w:rFonts w:ascii="Times New Roman" w:eastAsia="Times New Roman" w:hAnsi="Times New Roman" w:cs="Times New Roman"/>
          <w:sz w:val="28"/>
        </w:rPr>
        <w:t>в місті Коломи</w:t>
      </w:r>
      <w:r w:rsidR="007E6BCC">
        <w:rPr>
          <w:rFonts w:ascii="Times New Roman" w:eastAsia="Times New Roman" w:hAnsi="Times New Roman" w:cs="Times New Roman"/>
          <w:sz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</w:rPr>
        <w:t>, встановлений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діючим регуляторним актом (рішення виконавчого коміт</w:t>
      </w:r>
      <w:r w:rsidR="007E6BCC">
        <w:rPr>
          <w:rFonts w:ascii="Times New Roman" w:eastAsia="Times New Roman" w:hAnsi="Times New Roman" w:cs="Times New Roman"/>
          <w:sz w:val="28"/>
        </w:rPr>
        <w:t xml:space="preserve">ету Коломийської міської ради </w:t>
      </w:r>
      <w:r>
        <w:rPr>
          <w:rFonts w:ascii="Times New Roman" w:eastAsia="Times New Roman" w:hAnsi="Times New Roman" w:cs="Times New Roman"/>
          <w:sz w:val="28"/>
        </w:rPr>
        <w:t xml:space="preserve">від 18.12.2018 року </w:t>
      </w:r>
      <w:r w:rsidRPr="00522069">
        <w:rPr>
          <w:rFonts w:ascii="Times New Roman" w:eastAsia="Segoe UI Symbol" w:hAnsi="Times New Roman" w:cs="Times New Roman"/>
          <w:sz w:val="28"/>
        </w:rPr>
        <w:t>№</w:t>
      </w:r>
      <w:r w:rsidRPr="00522069">
        <w:rPr>
          <w:rFonts w:ascii="Times New Roman" w:eastAsia="Times New Roman" w:hAnsi="Times New Roman" w:cs="Times New Roman"/>
          <w:sz w:val="28"/>
        </w:rPr>
        <w:t xml:space="preserve"> 316</w:t>
      </w:r>
      <w:r>
        <w:rPr>
          <w:rFonts w:ascii="Times New Roman" w:eastAsia="Times New Roman" w:hAnsi="Times New Roman" w:cs="Times New Roman"/>
          <w:sz w:val="28"/>
        </w:rPr>
        <w:t>) не покриває економічно обґрунтовані витрати суб’єктів підприємницької діяльності, що надають такі послуги.</w:t>
      </w:r>
    </w:p>
    <w:p w:rsidR="0075259D" w:rsidRDefault="0075259D" w:rsidP="00F4266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E6BCC" w:rsidRDefault="00F4266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ІІ. </w:t>
      </w:r>
      <w:r w:rsidR="000C322A">
        <w:rPr>
          <w:rFonts w:ascii="Times New Roman" w:eastAsia="Times New Roman" w:hAnsi="Times New Roman" w:cs="Times New Roman"/>
          <w:b/>
          <w:sz w:val="28"/>
        </w:rPr>
        <w:t>Цілі державного регулювання.</w:t>
      </w:r>
    </w:p>
    <w:p w:rsidR="0075259D" w:rsidRDefault="000C322A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Відповідно до ст.10 Закону України «Про автомобільний транспорт» тарифна політика на автомобільному транспорті має задовольняти підприємницький інтерес, забезпечуват</w:t>
      </w:r>
      <w:r w:rsidR="007E6BCC">
        <w:rPr>
          <w:rFonts w:ascii="Times New Roman" w:eastAsia="Times New Roman" w:hAnsi="Times New Roman" w:cs="Times New Roman"/>
          <w:sz w:val="28"/>
        </w:rPr>
        <w:t xml:space="preserve">и розвиток автомобільного транспорту, </w:t>
      </w:r>
      <w:r>
        <w:rPr>
          <w:rFonts w:ascii="Times New Roman" w:eastAsia="Times New Roman" w:hAnsi="Times New Roman" w:cs="Times New Roman"/>
          <w:sz w:val="28"/>
        </w:rPr>
        <w:t>стимулювати впровадження новітніх техно</w:t>
      </w:r>
      <w:r w:rsidR="007E6BCC">
        <w:rPr>
          <w:rFonts w:ascii="Times New Roman" w:eastAsia="Times New Roman" w:hAnsi="Times New Roman" w:cs="Times New Roman"/>
          <w:sz w:val="28"/>
        </w:rPr>
        <w:t xml:space="preserve">логій перевезень, застосування </w:t>
      </w:r>
      <w:r>
        <w:rPr>
          <w:rFonts w:ascii="Times New Roman" w:eastAsia="Times New Roman" w:hAnsi="Times New Roman" w:cs="Times New Roman"/>
          <w:sz w:val="28"/>
        </w:rPr>
        <w:t>сучасних типів транспортних засобів, а також сприяти вирішенню таких завдань:</w:t>
      </w:r>
    </w:p>
    <w:p w:rsidR="0075259D" w:rsidRDefault="000C322A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збільшення можливостей суб'єктів господарювання щодо забезпечення потреб споживачів у послугах, залучення інвестицій у розвиток автомобільного   транспорту та досягнення сталих економічних умов роботи; </w:t>
      </w:r>
    </w:p>
    <w:p w:rsidR="0075259D" w:rsidRDefault="007E6BCC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стимулювання конкуренції та появи </w:t>
      </w:r>
      <w:r w:rsidR="000C322A">
        <w:rPr>
          <w:rFonts w:ascii="Times New Roman" w:eastAsia="Times New Roman" w:hAnsi="Times New Roman" w:cs="Times New Roman"/>
          <w:sz w:val="28"/>
        </w:rPr>
        <w:t xml:space="preserve">нових суб'єктів господарювання, які належать до автомобільного транспорту; </w:t>
      </w:r>
    </w:p>
    <w:p w:rsidR="0075259D" w:rsidRDefault="000C322A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забезпечення балансу між платоспроможним попитом на послуги та обсягом витрат на їх надання;</w:t>
      </w:r>
    </w:p>
    <w:p w:rsidR="0075259D" w:rsidRDefault="000C322A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забезпечення стабільності, прозорості та прогнозованості тарифів. </w:t>
      </w:r>
    </w:p>
    <w:p w:rsidR="0075259D" w:rsidRPr="00BC33E2" w:rsidRDefault="007E6BCC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Реалізація єдиної тарифної </w:t>
      </w:r>
      <w:r w:rsidR="00BC33E2">
        <w:rPr>
          <w:rFonts w:ascii="Times New Roman" w:eastAsia="Times New Roman" w:hAnsi="Times New Roman" w:cs="Times New Roman"/>
          <w:color w:val="000000" w:themeColor="text1"/>
          <w:sz w:val="28"/>
        </w:rPr>
        <w:t>політики</w:t>
      </w:r>
      <w:r w:rsidR="00F4266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передбачає </w:t>
      </w:r>
      <w:r w:rsidR="000C322A"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>затверджену центральн</w:t>
      </w:r>
      <w:r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им </w:t>
      </w:r>
      <w:r w:rsidR="000C322A"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>органом виконавчої влади, що забезпечує формування та реалізує державну політику у сфері транспорту, методику розрахунку тарифів за видами перевезень.</w:t>
      </w:r>
    </w:p>
    <w:p w:rsidR="0075259D" w:rsidRDefault="000C322A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Основною метою регулювання є забезпечення реалізації тарифної політики на перевезення пасажирів автобусами, основні завдання якої спрямовані на подолання збитковості перевізників, забезпечення обґрунтованості тарифів, </w:t>
      </w:r>
      <w:r>
        <w:rPr>
          <w:rFonts w:ascii="Times New Roman" w:eastAsia="Times New Roman" w:hAnsi="Times New Roman" w:cs="Times New Roman"/>
          <w:sz w:val="28"/>
        </w:rPr>
        <w:lastRenderedPageBreak/>
        <w:t>прозорості, збереження ринку соціально важливої послуги пасажирських перевезень на міських автобусних маршрутах загального користування, на яких здійснюються перевезення пасажирів у звичайному режимі руху.</w:t>
      </w:r>
    </w:p>
    <w:p w:rsidR="0075259D" w:rsidRDefault="000C322A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Отже,</w:t>
      </w:r>
      <w:r w:rsidR="00F4266D">
        <w:rPr>
          <w:rFonts w:ascii="Times New Roman" w:eastAsia="Times New Roman" w:hAnsi="Times New Roman" w:cs="Times New Roman"/>
          <w:sz w:val="28"/>
        </w:rPr>
        <w:t xml:space="preserve"> основними цілями регулювання є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5259D" w:rsidRDefault="000C322A" w:rsidP="00F4266D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приведення тарифу на перевезення пасажирів міським пасажирським транспортом загального користування до економічно обґрунтованого рівня;</w:t>
      </w:r>
    </w:p>
    <w:p w:rsidR="0075259D" w:rsidRDefault="000C322A" w:rsidP="00F4266D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забезпечення якісного та безпечного функціонування автомобільного транспорту загального користування;</w:t>
      </w:r>
    </w:p>
    <w:p w:rsidR="0075259D" w:rsidRDefault="000C322A" w:rsidP="00F4266D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покращення рівня обслуговування пасажирів та фінансового стану </w:t>
      </w:r>
      <w:r w:rsidR="00BC33E2" w:rsidRPr="00BC33E2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перевізників</w:t>
      </w:r>
      <w:r w:rsidRPr="00BC33E2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75259D" w:rsidRDefault="000C322A" w:rsidP="00F4266D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забезпечення покриття тарифами витрат на надання послуги з перевезення пасажирів на міських автобусних маршрутах загального користування.</w:t>
      </w:r>
    </w:p>
    <w:p w:rsidR="0075259D" w:rsidRDefault="0075259D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4266D" w:rsidRDefault="000C322A" w:rsidP="006E1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ІІІ. Визначення та оцінка альтернативних способів досягнення цілей.</w:t>
      </w:r>
    </w:p>
    <w:p w:rsidR="0075259D" w:rsidRDefault="000C322A" w:rsidP="00F4266D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Визначення альтернативних способів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досягнення встановлених цілей розглянуто такі альтернативи: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0"/>
        <w:gridCol w:w="5710"/>
      </w:tblGrid>
      <w:tr w:rsidR="0075259D" w:rsidTr="007E6BC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альтернативи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Опис альтернативи</w:t>
            </w:r>
          </w:p>
        </w:tc>
      </w:tr>
      <w:tr w:rsidR="0075259D" w:rsidTr="007E6BC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Неприйняття регуляторного акта, збереження діючого рівня тарифу на транспортні послуги</w:t>
            </w:r>
          </w:p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(далі – Альтернатива 1)</w:t>
            </w:r>
          </w:p>
          <w:p w:rsidR="0075259D" w:rsidRDefault="0075259D" w:rsidP="00F4266D">
            <w:pPr>
              <w:spacing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Рішення виконавчого комі</w:t>
            </w:r>
            <w:r w:rsidR="007E6BCC">
              <w:rPr>
                <w:rFonts w:ascii="Times New Roman" w:eastAsia="Times New Roman" w:hAnsi="Times New Roman" w:cs="Times New Roman"/>
                <w:sz w:val="28"/>
              </w:rPr>
              <w:t xml:space="preserve">тету Коломийської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від 18.12.2018 року </w:t>
            </w:r>
            <w:r w:rsidRPr="006E1A84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E1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316 «Про встановлення тарифів на перевезення пасажирів у міському сполученні» залишити без змін. Розмір тарифу для населення не змінюється і становить 5,00 грн. Встановлений тариф не забезпечує покриття витрат, що призведе до утворення заборгованості із виплати заробітної плати, обов’язкових податків і зборів, погіршення технічного стану рухомого складу, зниження якості послуг, що ставить під загрозу стале задоволення потреб населення в перевезеннях міським пасажирським транспортом загального користування.</w:t>
            </w:r>
          </w:p>
        </w:tc>
      </w:tr>
      <w:tr w:rsidR="0075259D" w:rsidTr="007E6BC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Компенсації перевізникам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(далі – Альтернатива 2)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Передбачення у місцевому бюджеті компенсації витрат автомобільного перевізника внаслідок регулювання тарифу, тобто покриття збитків від неповного відшкодування економічно обґрунтованих витрат в тарифі без його зміни.</w:t>
            </w:r>
          </w:p>
        </w:tc>
      </w:tr>
      <w:tr w:rsidR="0075259D" w:rsidTr="007E6BC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Прийняття запропонованого проєкту регуляторного акта - встановлення тарифу економічно обгрунтованого рівня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(далі – Альтернатива 3)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Прийняття виконавчим комітетом міської ради рішення про встановлення підвищеного розміру тарифу на транспортні послуги на міських автобусних маршрутах загального користування, що дозволить привести тариф до економічно обґрунтованого рівня,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підвищити якість надання послуг з перевезення пасажирів.</w:t>
            </w:r>
          </w:p>
        </w:tc>
      </w:tr>
    </w:tbl>
    <w:p w:rsidR="0075259D" w:rsidRDefault="0075259D" w:rsidP="00F4266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5259D" w:rsidRDefault="000C322A" w:rsidP="00F42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2.Оцінка вибраних альтернативних способів досягнення цілей</w:t>
      </w:r>
    </w:p>
    <w:p w:rsidR="0075259D" w:rsidRDefault="0075259D" w:rsidP="00F42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Оцінка впливу на сферу інтересів органів місцевого самоврядування (Коломийська міська рада)</w:t>
      </w:r>
    </w:p>
    <w:p w:rsidR="0075259D" w:rsidRDefault="0075259D" w:rsidP="00F426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альтернативи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Вигоди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Витрати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Відсутні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ind w:left="-52" w:firstLine="5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Відсутність регулювання даної ситуації може привести до соціальної напруги як серед населення, так і серед підприємців.</w:t>
            </w:r>
          </w:p>
          <w:p w:rsidR="0075259D" w:rsidRDefault="000C322A" w:rsidP="00F4266D">
            <w:pPr>
              <w:spacing w:after="0" w:line="240" w:lineRule="auto"/>
              <w:ind w:left="-52" w:firstLine="5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Постійне збільшення кількості звернень громадян щодо незадовільної якості надання транспортних послуг.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Часткове вирішення існуючої проблеми.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Виділення коштів з міського бюджету на компенсацію витрат автомобільного перевізника внаслідок регулювання тарифу.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Дана альтернатива не може бути реалізована в зв’язку з недостатністю бюджетних коштів та відсутністю механізму відшкодування.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Реалізація державної політики в сфері автомобільного транспорту. Покращ</w:t>
            </w:r>
            <w:r w:rsidR="00535356">
              <w:rPr>
                <w:rFonts w:ascii="Times New Roman" w:eastAsia="Times New Roman" w:hAnsi="Times New Roman" w:cs="Times New Roman"/>
                <w:sz w:val="28"/>
              </w:rPr>
              <w:t>ення умов перевезення пасажирів</w:t>
            </w:r>
            <w:r>
              <w:rPr>
                <w:rFonts w:ascii="Times New Roman" w:eastAsia="Times New Roman" w:hAnsi="Times New Roman" w:cs="Times New Roman"/>
                <w:sz w:val="28"/>
              </w:rPr>
              <w:t>, зменшення кількості звернень громадян щодо якості надання транспортних послуг, покриття розрахункових витрат підприємств-перевізників.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Витрати на оприлюднення та тиражування регуляторного акта.</w:t>
            </w:r>
          </w:p>
          <w:p w:rsidR="0075259D" w:rsidRDefault="0075259D" w:rsidP="00F4266D">
            <w:pPr>
              <w:spacing w:after="0" w:line="240" w:lineRule="auto"/>
              <w:jc w:val="both"/>
            </w:pPr>
          </w:p>
        </w:tc>
      </w:tr>
    </w:tbl>
    <w:p w:rsidR="0075259D" w:rsidRDefault="0075259D" w:rsidP="00F42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Оцінка впливу на сферу інтересів громадян</w:t>
      </w:r>
    </w:p>
    <w:p w:rsidR="0075259D" w:rsidRDefault="0075259D" w:rsidP="00F42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49"/>
        <w:gridCol w:w="3190"/>
      </w:tblGrid>
      <w:tr w:rsidR="0075259D" w:rsidTr="006E1A8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альтернативи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Витрати</w:t>
            </w:r>
          </w:p>
        </w:tc>
      </w:tr>
      <w:tr w:rsidR="0075259D" w:rsidTr="006E1A8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Альтернатива  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Збереження діючих тарифів, витрати на проїзд у міському пасажирському транспорті залишаються незмінними.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Погіршення якості обслуговування у зв’язку з великою зношуваністю автотранспорту, що приведе до часткової або повної зупинки громадського транспорту.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Зростання  соціальної напруги, як серед працівників підприємства так і серед пасажирів.</w:t>
            </w:r>
          </w:p>
        </w:tc>
      </w:tr>
      <w:tr w:rsidR="0075259D" w:rsidTr="006E1A8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Тариф на транспортні послуги не зросте – незмінні витрати громадян на проїзд у міському пасажирському транспорті.</w:t>
            </w:r>
          </w:p>
          <w:p w:rsidR="0075259D" w:rsidRDefault="0075259D" w:rsidP="00F4266D">
            <w:pPr>
              <w:spacing w:after="0" w:line="240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Відсутні</w:t>
            </w:r>
          </w:p>
        </w:tc>
      </w:tr>
      <w:tr w:rsidR="0075259D" w:rsidTr="006E1A8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675D19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Гарантія безперервності та підвищення якості і безпеки надання послуг автомобільним транспортом.</w:t>
            </w:r>
          </w:p>
          <w:p w:rsidR="0075259D" w:rsidRPr="00675D19" w:rsidRDefault="000C322A" w:rsidP="00F4266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Покращення умов обслуговування населення міським автомобільним транспортом.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 xml:space="preserve">Збільшення витрат на оплату послуг з перевезення пасажирів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міським автомобільним </w:t>
            </w:r>
            <w:r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транспортом</w:t>
            </w:r>
            <w:r w:rsidR="00C32712"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 3,00 грн</w:t>
            </w:r>
          </w:p>
        </w:tc>
      </w:tr>
    </w:tbl>
    <w:p w:rsidR="0075259D" w:rsidRDefault="0075259D" w:rsidP="00F42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95D98" w:rsidRDefault="00F95D98" w:rsidP="00F42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Оцінка впливу на сферу інтересів суб’єктів господарювання</w:t>
      </w:r>
    </w:p>
    <w:p w:rsidR="0075259D" w:rsidRDefault="0075259D" w:rsidP="00F42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1266"/>
        <w:gridCol w:w="1272"/>
        <w:gridCol w:w="1255"/>
        <w:gridCol w:w="1313"/>
        <w:gridCol w:w="1529"/>
      </w:tblGrid>
      <w:tr w:rsidR="0075259D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Показник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Великі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Середні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Малі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Мікро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</w:tr>
      <w:tr w:rsidR="0075259D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суб’єктів господарювання, що підпадають під дію регулювання, одиниць</w:t>
            </w:r>
          </w:p>
          <w:p w:rsidR="0075259D" w:rsidRDefault="0075259D" w:rsidP="00F4266D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475F0C" w:rsidRDefault="00475F0C" w:rsidP="00F4266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75F0C">
              <w:rPr>
                <w:b/>
                <w:lang w:val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475F0C" w:rsidRDefault="00475F0C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75259D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Питома вага групи у загальній кількості, відсотків</w:t>
            </w:r>
          </w:p>
          <w:p w:rsidR="0075259D" w:rsidRDefault="0075259D" w:rsidP="00F4266D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475F0C" w:rsidRDefault="00475F0C" w:rsidP="00F4266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75F0C">
              <w:rPr>
                <w:b/>
                <w:lang w:val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475F0C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75259D" w:rsidRDefault="0075259D" w:rsidP="00F426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963"/>
      </w:tblGrid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Вид альтернативи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Вигоди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Витрати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C32712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Альтернатива </w:t>
            </w:r>
            <w:r w:rsidR="000C322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Відсутні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Погіршення фінансово-економічного стану перевізників.</w:t>
            </w:r>
          </w:p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Зменшення кількості транспортних засобів на маршрутах від необхідної</w:t>
            </w:r>
            <w:r w:rsidR="00C32712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зв’язку з погіршенням технічного стану рухомого складу.</w:t>
            </w:r>
          </w:p>
          <w:p w:rsidR="0075259D" w:rsidRPr="00675D19" w:rsidRDefault="000C322A" w:rsidP="00F4266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Втрата кваліфікованих працівників внаслідок неможливості забезпечення їх гідним рівнем заробітної плати</w:t>
            </w:r>
            <w:r w:rsidR="00675D19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Часткове покращення фінансово-економічного стану перевізників.</w:t>
            </w:r>
          </w:p>
          <w:p w:rsidR="0075259D" w:rsidRDefault="0075259D" w:rsidP="00F4266D">
            <w:pPr>
              <w:spacing w:after="0" w:line="240" w:lineRule="auto"/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зв’язку з недостатністю бюджетних коштів та відсутністю механізму відшкодування, можливі затримки надходжень дотації, що в майбутньому призведе до погіршення якості послуг та фінансового стану автоперевізників.</w:t>
            </w:r>
          </w:p>
        </w:tc>
      </w:tr>
      <w:tr w:rsidR="0075259D" w:rsidTr="006E1A8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Можливість здійснення</w:t>
            </w:r>
            <w:r w:rsidR="00846AF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перевезення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пасажирів за економічно - обґрунтованими тарифами.</w:t>
            </w:r>
          </w:p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Покращення якості послуг з перевезення пасажирів.</w:t>
            </w:r>
          </w:p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Підтримання в належному технічному стані </w:t>
            </w:r>
            <w:r w:rsidR="00B26F3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B26F3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uk-UA"/>
              </w:rPr>
              <w:t>засобів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що підвищить надійність роботи рухомого складу.</w:t>
            </w:r>
          </w:p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Досягнення сталих економічних умов роботи, забезпечення беззбиткової діяльності перевізників.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Задоволення підприємницького інтересу.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Відсутні</w:t>
            </w:r>
          </w:p>
        </w:tc>
      </w:tr>
    </w:tbl>
    <w:p w:rsidR="0075259D" w:rsidRDefault="0075259D" w:rsidP="006E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ІV. Вибір найбільш оптимального альтернативного способу досягнення цілей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Вартість балів визначається за чотирибальною системою оцінки ступеня досягнення визначених цілей, де: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— цілі прийняття регуляторного акта, які можуть бути досягнуті повною мірою (проблема більше існувати не буде);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— цілі прийняття регуляторного акта, я</w:t>
      </w:r>
      <w:r w:rsidR="00B26F31">
        <w:rPr>
          <w:rFonts w:ascii="Times New Roman" w:eastAsia="Times New Roman" w:hAnsi="Times New Roman" w:cs="Times New Roman"/>
          <w:sz w:val="28"/>
        </w:rPr>
        <w:t xml:space="preserve">кі можуть бути досягнуті майже </w:t>
      </w:r>
      <w:r>
        <w:rPr>
          <w:rFonts w:ascii="Times New Roman" w:eastAsia="Times New Roman" w:hAnsi="Times New Roman" w:cs="Times New Roman"/>
          <w:sz w:val="28"/>
        </w:rPr>
        <w:t>повною мірою (усі важливі аспекти проблеми існувати не будуть);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—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— цілі прийняття регуляторного акта, які не можуть бути досягнуті (проблема продовжує існувати).</w:t>
      </w:r>
    </w:p>
    <w:p w:rsidR="0075259D" w:rsidRDefault="0075259D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2936"/>
        <w:gridCol w:w="3396"/>
      </w:tblGrid>
      <w:tr w:rsidR="0075259D" w:rsidTr="006E1A84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 результативності (за чотирибальною системою оцінки)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Коментарі щодо присвоєння відповідного бала</w:t>
            </w:r>
          </w:p>
        </w:tc>
      </w:tr>
      <w:tr w:rsidR="0075259D" w:rsidTr="006E1A84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B26F31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Альтернатива </w:t>
            </w:r>
            <w:r w:rsidR="000C322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Цілі прийняття регуляторного акта не можуть бути досягнуті (проблема продовжує існувати).</w:t>
            </w:r>
          </w:p>
        </w:tc>
      </w:tr>
      <w:tr w:rsidR="0075259D" w:rsidTr="006E1A84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невирішеними).</w:t>
            </w:r>
          </w:p>
        </w:tc>
      </w:tr>
      <w:tr w:rsidR="0075259D" w:rsidTr="006E1A84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Цілі прийняття регуляторного акта можуть бути досягнуті повною мірою (проблема більше існувати не буде).</w:t>
            </w:r>
          </w:p>
        </w:tc>
      </w:tr>
    </w:tbl>
    <w:p w:rsidR="0075259D" w:rsidRDefault="0075259D" w:rsidP="00F4266D">
      <w:pPr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75259D" w:rsidP="00F4266D">
      <w:pPr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2534"/>
        <w:gridCol w:w="2395"/>
        <w:gridCol w:w="2276"/>
      </w:tblGrid>
      <w:tr w:rsidR="0075259D" w:rsidTr="006E1A84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Рейтинг результативності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Вигоди (підсумок)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Витрати (підсумок)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Обґрунтування відповідного місця альтернативи у рейтингу</w:t>
            </w:r>
          </w:p>
        </w:tc>
      </w:tr>
      <w:tr w:rsidR="0075259D" w:rsidTr="006E1A84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B26F31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Альтернатива </w:t>
            </w:r>
            <w:r w:rsidR="000C322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Тариф на транспортні послуги не зросте – незмінні витрати громадян на проїзд у міському пасажирському транспорті.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Погіршення фінансово-економічного стану суб’єктів господарської діяльності – надавачів послуг. Їх діяльність буде збитковою, що призведе до банкрутства та припинення господарської діяльності перевізниками.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Альтернативі присвоєно найменший бал, у зв’язку з тим, що проблема державного регулювання не буде вирішена.</w:t>
            </w:r>
          </w:p>
        </w:tc>
      </w:tr>
      <w:tr w:rsidR="0075259D" w:rsidTr="006E1A84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Тариф на транспортні послуги не зросте.</w:t>
            </w:r>
          </w:p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Часткове покращення фінансово-економічного стану перевізників.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Виплата коштів з міського бюджету на компенсацію в</w:t>
            </w:r>
            <w:r w:rsidR="00B26F31">
              <w:rPr>
                <w:rFonts w:ascii="Times New Roman" w:eastAsia="Times New Roman" w:hAnsi="Times New Roman" w:cs="Times New Roman"/>
                <w:sz w:val="28"/>
              </w:rPr>
              <w:t>итрат перевізників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внаслідок регулювання тарифу призведе до скорочення фінансування вирішення проблем громадян та громади міста.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Альтернативі присвоєно середній бал, у зв’язку з тим, що проблема державного регулювання буде вирішена частково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75259D" w:rsidTr="006E1A84">
        <w:trPr>
          <w:trHeight w:val="3075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Стабілізація роботи міського автомобільного транспорту та покращення якості послуг з перевезення пасажирів.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 xml:space="preserve">Збільшення витрат громадян на оплату послуг з перевезення пасажирів </w:t>
            </w:r>
            <w:r>
              <w:rPr>
                <w:rFonts w:ascii="Times New Roman" w:eastAsia="Times New Roman" w:hAnsi="Times New Roman" w:cs="Times New Roman"/>
                <w:sz w:val="28"/>
              </w:rPr>
              <w:t>міським автомобільним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Альтернативі присвоєно найвищий бал, оскільки вона дозволяє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досягнути цілей державного регулювання у повній мірі.</w:t>
            </w:r>
          </w:p>
        </w:tc>
      </w:tr>
    </w:tbl>
    <w:p w:rsidR="0075259D" w:rsidRDefault="0075259D" w:rsidP="00F4266D">
      <w:pPr>
        <w:spacing w:after="0" w:line="240" w:lineRule="auto"/>
        <w:ind w:left="58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4005"/>
      </w:tblGrid>
      <w:tr w:rsidR="001F3524" w:rsidTr="006E1A8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Рейтинг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Аргументи щодо переваги обраної альтернативи \ причини відмови від альтернативи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F3524" w:rsidTr="006E1A8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Альтернатива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прийнятна, оскільки не вирішує проблемних питань, які потребують негайного вирішення.</w:t>
            </w:r>
          </w:p>
          <w:p w:rsidR="001F3524" w:rsidRDefault="001F3524" w:rsidP="001F3524">
            <w:pPr>
              <w:spacing w:after="0" w:line="240" w:lineRule="auto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</w:tr>
      <w:tr w:rsidR="001F3524" w:rsidTr="006E1A8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прийнятна, оскільки вирішує проблемні питання частково та не існує чіткої </w:t>
            </w:r>
            <w:r w:rsidRPr="00675D19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законодавчо</w:t>
            </w:r>
            <w:r w:rsidRPr="00B26F31">
              <w:rPr>
                <w:rFonts w:ascii="Times New Roman" w:eastAsia="Times New Roman" w:hAnsi="Times New Roman" w:cs="Times New Roman"/>
                <w:color w:val="FF0000"/>
                <w:sz w:val="28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регламентації її реалізації.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</w:tr>
      <w:tr w:rsidR="001F3524" w:rsidTr="006E1A8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Альтернатива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досягнення встановлених цілей, перевага була надана даній альтернативі, оскільки  проектом рішення запропоновано забезпечення балансу між платоспроможним попитом на послуги та обсягом витрат на їх надання.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524" w:rsidRDefault="001F3524" w:rsidP="001F35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дію даного акта можливий вплив зовнішніх чинників – ухвалення змін та доповнень до чинного законодавства стосовно організації міських пасажирських перевезень, цінові коливання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ринку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паливо-мастильних матеріалів. В такому випадку рішення виконавчого комітету міської ради потребуватиме внесення відповідних змін та доповнень.</w:t>
            </w:r>
          </w:p>
        </w:tc>
      </w:tr>
    </w:tbl>
    <w:p w:rsidR="001F3524" w:rsidRDefault="001F3524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3524" w:rsidRDefault="001F3524" w:rsidP="00F4266D">
      <w:pPr>
        <w:spacing w:after="0" w:line="240" w:lineRule="auto"/>
        <w:ind w:left="58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V. Механізми та заходи, які забезпечать розв’язання визначеної проблеми.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Механізм розв’язання визначеної проблеми полягає у забезпеченні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75259D" w:rsidRDefault="000C322A" w:rsidP="00F4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</w:rPr>
      </w:pPr>
      <w:r>
        <w:rPr>
          <w:rFonts w:ascii="Times New Roman" w:eastAsia="Times New Roman" w:hAnsi="Times New Roman" w:cs="Times New Roman"/>
          <w:spacing w:val="-2"/>
          <w:sz w:val="26"/>
        </w:rPr>
        <w:t>-  </w:t>
      </w:r>
      <w:r>
        <w:rPr>
          <w:rFonts w:ascii="Times New Roman" w:eastAsia="Times New Roman" w:hAnsi="Times New Roman" w:cs="Times New Roman"/>
          <w:sz w:val="28"/>
        </w:rPr>
        <w:t>збалансованості інтересів споживачів послуг та перевізників: паса</w:t>
      </w:r>
      <w:r w:rsidR="00B26F31">
        <w:rPr>
          <w:rFonts w:ascii="Times New Roman" w:eastAsia="Times New Roman" w:hAnsi="Times New Roman" w:cs="Times New Roman"/>
          <w:sz w:val="28"/>
        </w:rPr>
        <w:t xml:space="preserve">жирам забезпечується стабільне надання послуг </w:t>
      </w:r>
      <w:r>
        <w:rPr>
          <w:rFonts w:ascii="Times New Roman" w:eastAsia="Times New Roman" w:hAnsi="Times New Roman" w:cs="Times New Roman"/>
          <w:sz w:val="28"/>
        </w:rPr>
        <w:t xml:space="preserve">з перевезення міським автомобільним транспортом за рахунок підвищення плати за ці послуги, а надходження додаткових коштів дасть можливість перевізникам м. Коломиї здійснювати необхідні експлуатаційні витрати і забезпечити </w:t>
      </w:r>
      <w:r w:rsidR="00B26F31">
        <w:rPr>
          <w:rFonts w:ascii="Times New Roman" w:eastAsia="Times New Roman" w:hAnsi="Times New Roman" w:cs="Times New Roman"/>
          <w:sz w:val="28"/>
          <w:lang w:val="uk-UA"/>
        </w:rPr>
        <w:t>безперебійну</w:t>
      </w:r>
      <w:r>
        <w:rPr>
          <w:rFonts w:ascii="Times New Roman" w:eastAsia="Times New Roman" w:hAnsi="Times New Roman" w:cs="Times New Roman"/>
          <w:sz w:val="28"/>
        </w:rPr>
        <w:t xml:space="preserve"> роботу з перевезення пасажирів;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принципу державної регулят</w:t>
      </w:r>
      <w:r w:rsidR="00535356">
        <w:rPr>
          <w:rFonts w:ascii="Times New Roman" w:eastAsia="Times New Roman" w:hAnsi="Times New Roman" w:cs="Times New Roman"/>
          <w:sz w:val="28"/>
        </w:rPr>
        <w:t>орної політики, а саме: доцільності</w:t>
      </w:r>
      <w:r>
        <w:rPr>
          <w:rFonts w:ascii="Times New Roman" w:eastAsia="Times New Roman" w:hAnsi="Times New Roman" w:cs="Times New Roman"/>
          <w:sz w:val="28"/>
        </w:rPr>
        <w:t>, адекватн</w:t>
      </w:r>
      <w:r w:rsidR="00535356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535356">
        <w:rPr>
          <w:rFonts w:ascii="Times New Roman" w:eastAsia="Times New Roman" w:hAnsi="Times New Roman" w:cs="Times New Roman"/>
          <w:sz w:val="28"/>
        </w:rPr>
        <w:t>сті, ефективності, збалансованості, передбачуваності</w:t>
      </w:r>
      <w:r>
        <w:rPr>
          <w:rFonts w:ascii="Times New Roman" w:eastAsia="Times New Roman" w:hAnsi="Times New Roman" w:cs="Times New Roman"/>
          <w:sz w:val="28"/>
        </w:rPr>
        <w:t>, принципу прозорості і врахування громадської думки та пропозицій суб’єктів підприємницької діяльності. 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Заходи, які мають здійснити органи місцевого самоврядування для впровадження регуляторного акта: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розробка проєкту рішення виконавчого комітету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Коломийської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ради «Про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тариф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перевезення пасажирів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міському пасажирському транспорті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загального користування» та Аналізу регуляторного впливу; 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оприлюднення проєкту рішення на офіційному сайті </w:t>
      </w:r>
      <w:r w:rsidR="00675D19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Коломийської</w:t>
      </w:r>
      <w:r w:rsid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</w:t>
      </w:r>
      <w:proofErr w:type="gramStart"/>
      <w:r w:rsid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разом</w:t>
      </w:r>
      <w:proofErr w:type="gramEnd"/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а</w:t>
      </w:r>
      <w:r w:rsidR="0053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налізом регуляторного впливу, 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отримання пропозицій та зауважень;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відповідність проєкту рішення вимогам Закону України «Про засади державної регуляторної політики у сфері господарської діяльності»;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прийняття рішення виконавчого комітету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Коломийської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ради;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оприлюднення рішення у встановленому законодавством порядку;</w:t>
      </w:r>
    </w:p>
    <w:p w:rsidR="0075259D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проведення заходів з відстеження результативності прийнятого рішення.</w:t>
      </w:r>
    </w:p>
    <w:p w:rsidR="001F3524" w:rsidRPr="00464C11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належної інформативності громадян та суб’єктів гос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подарювання рішення в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иконавчого комітету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Коломийської</w:t>
      </w: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ради буде оприлюднене на офіційному веб-сайті </w:t>
      </w:r>
      <w:r w:rsidR="001F3524"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Коломийської міської ради.</w:t>
      </w:r>
    </w:p>
    <w:p w:rsidR="001F3524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учасниками правовідносин у сфері послуг з перевезення пасажирів автомобільним транспортом.</w:t>
      </w:r>
    </w:p>
    <w:p w:rsidR="003651EE" w:rsidRPr="00464C11" w:rsidRDefault="003651EE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259D" w:rsidRDefault="000C322A" w:rsidP="001F3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Питома вага суб’єктів господарювання малого підприємництва (мікро-  підприємств) у загальній кількості суб’єктів господарювання, на яких поширюється регулювання становить 100,0%, тому 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акту (тест малого підприємництва).</w:t>
      </w:r>
    </w:p>
    <w:p w:rsidR="0075259D" w:rsidRDefault="0075259D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3651EE">
      <w:pPr>
        <w:spacing w:after="0" w:line="240" w:lineRule="auto"/>
        <w:ind w:left="58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VІІ. Обґрунтування запропонованого строку дії регуляторного акта 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Термін дії запропонованого регуляторного акту – необмежений, з можливістю внесення до нього змін або його відміни.</w:t>
      </w:r>
    </w:p>
    <w:p w:rsidR="0075259D" w:rsidRDefault="0075259D" w:rsidP="00F4266D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F4266D">
      <w:pPr>
        <w:spacing w:after="0" w:line="240" w:lineRule="auto"/>
        <w:ind w:left="228" w:firstLine="4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VІІІ. Визначення п</w:t>
      </w:r>
      <w:r w:rsidR="0085746D">
        <w:rPr>
          <w:rFonts w:ascii="Times New Roman" w:eastAsia="Times New Roman" w:hAnsi="Times New Roman" w:cs="Times New Roman"/>
          <w:b/>
          <w:sz w:val="28"/>
        </w:rPr>
        <w:t xml:space="preserve">оказників результативності дії </w:t>
      </w:r>
      <w:r>
        <w:rPr>
          <w:rFonts w:ascii="Times New Roman" w:eastAsia="Times New Roman" w:hAnsi="Times New Roman" w:cs="Times New Roman"/>
          <w:b/>
          <w:sz w:val="28"/>
        </w:rPr>
        <w:t>регуляторного акта.</w:t>
      </w:r>
    </w:p>
    <w:p w:rsidR="00555486" w:rsidRDefault="00555486" w:rsidP="0036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86">
        <w:rPr>
          <w:rFonts w:ascii="Times New Roman" w:eastAsia="Times New Roman" w:hAnsi="Times New Roman" w:cs="Times New Roman"/>
          <w:sz w:val="28"/>
          <w:szCs w:val="28"/>
        </w:rPr>
        <w:t>Для відстеження результативності дії регуляторного акта визначено такі показники:</w:t>
      </w:r>
    </w:p>
    <w:p w:rsidR="003617E8" w:rsidRPr="003617E8" w:rsidRDefault="003617E8" w:rsidP="003617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617E8"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ількісті звернень щодо роботи міського транспорту в сфері перевезень</w:t>
      </w:r>
      <w:r w:rsidR="0053535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617E8" w:rsidRPr="003617E8" w:rsidRDefault="003617E8" w:rsidP="003617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617E8"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ількість дорожньо-транспортних пригод за участі пасажирських транспортних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617E8" w:rsidRPr="003617E8" w:rsidRDefault="003617E8" w:rsidP="003617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617E8"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ількість міських автобусних маршруті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617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259D" w:rsidRDefault="000C322A" w:rsidP="0036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Додаткові показники результативності проекту рішення можуть бути визначені під час проведення базового, повторного та періодичного відстежень.</w:t>
      </w:r>
    </w:p>
    <w:p w:rsidR="0075259D" w:rsidRPr="003651EE" w:rsidRDefault="000C322A" w:rsidP="0036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8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ч.5 ст.12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</w:t>
      </w:r>
      <w:r w:rsidRPr="005B2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друкованих засобах масової інформації</w:t>
      </w:r>
      <w:r w:rsidRPr="00555486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r w:rsidR="00555486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офіційному</w:t>
      </w:r>
      <w:r w:rsidR="001F3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486">
        <w:rPr>
          <w:rFonts w:ascii="Times New Roman" w:eastAsia="Times New Roman" w:hAnsi="Times New Roman" w:cs="Times New Roman"/>
          <w:sz w:val="28"/>
          <w:szCs w:val="28"/>
          <w:lang w:val="uk-UA"/>
        </w:rPr>
        <w:t>сайті</w:t>
      </w:r>
      <w:r w:rsidRPr="00555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86">
        <w:rPr>
          <w:rFonts w:ascii="Times New Roman" w:eastAsia="Times New Roman" w:hAnsi="Times New Roman" w:cs="Times New Roman"/>
          <w:sz w:val="28"/>
          <w:szCs w:val="28"/>
          <w:lang w:val="uk-UA"/>
        </w:rPr>
        <w:t>Коломийської</w:t>
      </w:r>
      <w:r w:rsidRPr="0055548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у розділі «Регуляторна діяльність». Таким чином, рівень поінформованості суб'єктів господарювання (перевізників) та громадян міста з основних положень акта очікується на рівні 100%.</w:t>
      </w:r>
    </w:p>
    <w:p w:rsidR="0075259D" w:rsidRDefault="000C322A" w:rsidP="00F4266D">
      <w:pPr>
        <w:spacing w:after="0" w:line="240" w:lineRule="auto"/>
        <w:ind w:left="228" w:firstLine="4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ІХ. Визначення заходів, за допомогою яких здійснюватиметься відстеження результативності дії регуляторного акта.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Відстеження результативності регуляторного акта здійснюватиметься шляхом: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проведення базового відстеження результативності регуляторного акта до дня набрання ним чинності;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- </w:t>
      </w:r>
      <w:r>
        <w:rPr>
          <w:rFonts w:ascii="Times New Roman" w:eastAsia="Times New Roman" w:hAnsi="Times New Roman" w:cs="Times New Roman"/>
          <w:spacing w:val="-2"/>
          <w:sz w:val="28"/>
        </w:rPr>
        <w:t>проведення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повторного відстеження результативності регуляторного акта здійснюватиметься через рік з дня набрання ним чинності.</w:t>
      </w:r>
    </w:p>
    <w:p w:rsidR="003617E8" w:rsidRPr="003617E8" w:rsidRDefault="000C322A" w:rsidP="0036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617E8">
        <w:rPr>
          <w:rFonts w:ascii="Times New Roman" w:eastAsia="Times New Roman" w:hAnsi="Times New Roman" w:cs="Times New Roman"/>
          <w:color w:val="000000" w:themeColor="text1"/>
          <w:sz w:val="28"/>
        </w:rPr>
        <w:t>Методи одержання результатів відстеження: аналіз кількості скарг споживачів послуг пасажирських перевезень, ДТП за участі пасажирських тра</w:t>
      </w:r>
      <w:r w:rsidR="003617E8" w:rsidRPr="003617E8">
        <w:rPr>
          <w:rFonts w:ascii="Times New Roman" w:eastAsia="Times New Roman" w:hAnsi="Times New Roman" w:cs="Times New Roman"/>
          <w:color w:val="000000" w:themeColor="text1"/>
          <w:sz w:val="28"/>
        </w:rPr>
        <w:t>нспортних засобів та к</w:t>
      </w:r>
      <w:r w:rsidR="003617E8" w:rsidRPr="003617E8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ількості міських автобусних маршрутів.</w:t>
      </w:r>
    </w:p>
    <w:p w:rsidR="0075259D" w:rsidRPr="003617E8" w:rsidRDefault="000C322A" w:rsidP="0036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617E8">
        <w:rPr>
          <w:rFonts w:ascii="Times New Roman" w:eastAsia="Times New Roman" w:hAnsi="Times New Roman" w:cs="Times New Roman"/>
          <w:sz w:val="28"/>
          <w:lang w:val="uk-UA"/>
        </w:rPr>
        <w:t xml:space="preserve">Дані та припущення, на основі яких відстежуватиметься результативність: дані Коломийського відділу поліції ГУ НП в Івано-Франківській області, </w:t>
      </w:r>
      <w:r w:rsidR="00801B90">
        <w:rPr>
          <w:rFonts w:ascii="Times New Roman" w:eastAsia="Times New Roman" w:hAnsi="Times New Roman" w:cs="Times New Roman"/>
          <w:sz w:val="28"/>
          <w:lang w:val="uk-UA"/>
        </w:rPr>
        <w:t>відділ</w:t>
      </w:r>
      <w:r w:rsidRPr="003617E8">
        <w:rPr>
          <w:rFonts w:ascii="Times New Roman" w:eastAsia="Times New Roman" w:hAnsi="Times New Roman" w:cs="Times New Roman"/>
          <w:sz w:val="28"/>
          <w:lang w:val="uk-UA"/>
        </w:rPr>
        <w:t xml:space="preserve"> економіки Коломийської міської ради.</w:t>
      </w:r>
    </w:p>
    <w:p w:rsidR="0075259D" w:rsidRDefault="000C322A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Відстеження результативності регуляторного акта буде здійснюватися </w:t>
      </w:r>
      <w:r w:rsidR="00801B90">
        <w:rPr>
          <w:rFonts w:ascii="Times New Roman" w:eastAsia="Times New Roman" w:hAnsi="Times New Roman" w:cs="Times New Roman"/>
          <w:sz w:val="28"/>
          <w:lang w:val="uk-UA"/>
        </w:rPr>
        <w:t>відділом</w:t>
      </w:r>
      <w:r>
        <w:rPr>
          <w:rFonts w:ascii="Times New Roman" w:eastAsia="Times New Roman" w:hAnsi="Times New Roman" w:cs="Times New Roman"/>
          <w:sz w:val="28"/>
        </w:rPr>
        <w:t xml:space="preserve"> економіки Коломийської міської ради.</w:t>
      </w: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7E8" w:rsidRDefault="003617E8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7E8" w:rsidRDefault="003617E8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7E8" w:rsidRDefault="003617E8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Pr="00C15807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15807">
        <w:rPr>
          <w:rFonts w:ascii="Times New Roman" w:eastAsia="Times New Roman" w:hAnsi="Times New Roman" w:cs="Times New Roman"/>
          <w:b/>
          <w:sz w:val="28"/>
        </w:rPr>
        <w:t xml:space="preserve">Начальник </w:t>
      </w:r>
      <w:r w:rsidR="00801B90">
        <w:rPr>
          <w:rFonts w:ascii="Times New Roman" w:eastAsia="Times New Roman" w:hAnsi="Times New Roman" w:cs="Times New Roman"/>
          <w:b/>
          <w:sz w:val="28"/>
          <w:lang w:val="uk-UA"/>
        </w:rPr>
        <w:t>відділу</w:t>
      </w:r>
      <w:r w:rsidRPr="00C15807">
        <w:rPr>
          <w:rFonts w:ascii="Times New Roman" w:eastAsia="Times New Roman" w:hAnsi="Times New Roman" w:cs="Times New Roman"/>
          <w:b/>
          <w:sz w:val="28"/>
        </w:rPr>
        <w:t xml:space="preserve"> економіки</w:t>
      </w:r>
    </w:p>
    <w:p w:rsidR="0075259D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5807">
        <w:rPr>
          <w:rFonts w:ascii="Times New Roman" w:eastAsia="Times New Roman" w:hAnsi="Times New Roman" w:cs="Times New Roman"/>
          <w:b/>
          <w:sz w:val="28"/>
        </w:rPr>
        <w:t>Коломийської міської ради</w:t>
      </w:r>
      <w:r w:rsidRPr="00464C11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="00C1580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464C11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464C11" w:rsidRPr="00464C11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464C11">
        <w:rPr>
          <w:rFonts w:ascii="Times New Roman" w:eastAsia="Times New Roman" w:hAnsi="Times New Roman" w:cs="Times New Roman"/>
          <w:b/>
          <w:sz w:val="28"/>
        </w:rPr>
        <w:t xml:space="preserve">     Світлана СЕНЮК</w:t>
      </w: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5259D" w:rsidRDefault="0075259D" w:rsidP="00F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75259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6D" w:rsidRDefault="0085746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6D" w:rsidRDefault="0085746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6D" w:rsidRDefault="0085746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6D" w:rsidRDefault="0085746D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E8" w:rsidRDefault="003617E8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E8" w:rsidRDefault="003617E8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E8" w:rsidRDefault="003617E8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E8" w:rsidRDefault="003617E8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7E8" w:rsidRDefault="003617E8" w:rsidP="00F42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4C11" w:rsidRDefault="00464C11" w:rsidP="003651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51EE" w:rsidRDefault="003651EE" w:rsidP="003651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59D" w:rsidRDefault="000C322A" w:rsidP="00F4266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Додаток 1</w:t>
      </w:r>
    </w:p>
    <w:p w:rsidR="0075259D" w:rsidRDefault="000C322A" w:rsidP="00F4266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аналізу регуляторного впливу проєкту регуляторного акта – рішення вик</w:t>
      </w:r>
      <w:r w:rsidR="003617E8">
        <w:rPr>
          <w:rFonts w:ascii="Times New Roman" w:eastAsia="Times New Roman" w:hAnsi="Times New Roman" w:cs="Times New Roman"/>
          <w:sz w:val="24"/>
        </w:rPr>
        <w:t xml:space="preserve">онавчого комітету Коломийської </w:t>
      </w:r>
      <w:r>
        <w:rPr>
          <w:rFonts w:ascii="Times New Roman" w:eastAsia="Times New Roman" w:hAnsi="Times New Roman" w:cs="Times New Roman"/>
          <w:sz w:val="24"/>
        </w:rPr>
        <w:t>міської ради «Про встановлення тарифів на перевезення пасажирів у міському пасажирському транспорті загального користування»</w:t>
      </w:r>
    </w:p>
    <w:p w:rsidR="0075259D" w:rsidRDefault="0075259D" w:rsidP="00F426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6"/>
        </w:rPr>
      </w:pPr>
    </w:p>
    <w:p w:rsidR="0075259D" w:rsidRDefault="000C322A" w:rsidP="00F4266D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ТЕСТ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малого підприємництва (М-Тест)</w:t>
      </w:r>
    </w:p>
    <w:p w:rsidR="0075259D" w:rsidRDefault="0075259D" w:rsidP="00F4266D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Консультації з представниками малого підприємництва щодо оцінки впливу регулювання.</w:t>
      </w:r>
    </w:p>
    <w:p w:rsidR="0075259D" w:rsidRDefault="0075259D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>
        <w:rPr>
          <w:rFonts w:ascii="Times New Roman" w:eastAsia="Times New Roman" w:hAnsi="Times New Roman" w:cs="Times New Roman"/>
          <w:color w:val="000000"/>
          <w:sz w:val="28"/>
        </w:rPr>
        <w:t>з 01 листопада 2021 р. по 30 листопада 2021 р.</w:t>
      </w:r>
    </w:p>
    <w:p w:rsidR="0075259D" w:rsidRDefault="0075259D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3995"/>
        <w:gridCol w:w="1536"/>
        <w:gridCol w:w="2731"/>
      </w:tblGrid>
      <w:tr w:rsidR="0075259D">
        <w:trPr>
          <w:trHeight w:val="1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Порядковий номер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 учасників консультацій, осіб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Основні результати консультацій (опис)</w:t>
            </w:r>
          </w:p>
        </w:tc>
      </w:tr>
      <w:tr w:rsidR="0075259D" w:rsidTr="003651EE">
        <w:trPr>
          <w:trHeight w:val="1641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75259D" w:rsidRDefault="0075259D" w:rsidP="00F426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75259D" w:rsidP="00F426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75259D" w:rsidP="00F4266D">
            <w:pPr>
              <w:spacing w:before="150" w:after="150" w:line="240" w:lineRule="auto"/>
              <w:jc w:val="center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3651EE" w:rsidRDefault="000C322A" w:rsidP="003651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Робоча зустріч із перевізниками, які здійснюють перевезення на міських автобусних маршрутах загального користування, в т.ч. суб’єктами малого підприємництва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51121D" w:rsidRDefault="0051121D" w:rsidP="00F426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5112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15</w:t>
            </w:r>
          </w:p>
          <w:p w:rsidR="0075259D" w:rsidRDefault="0075259D" w:rsidP="00F4266D">
            <w:pPr>
              <w:spacing w:before="150" w:after="150" w:line="240" w:lineRule="auto"/>
              <w:jc w:val="center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Обґрунтування необхідності прийняття зазначеного проекту регуляторного акту</w:t>
            </w:r>
          </w:p>
        </w:tc>
      </w:tr>
    </w:tbl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51EE" w:rsidRDefault="003651EE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Вимірювання впливу регулювання на суб’єктів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малого </w:t>
      </w:r>
      <w:r w:rsidR="0051121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підприємництва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(мікро- та малі):</w:t>
      </w:r>
    </w:p>
    <w:p w:rsidR="0075259D" w:rsidRDefault="0075259D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кількість суб’єктів малого</w:t>
      </w:r>
      <w:r w:rsidR="0051121D">
        <w:rPr>
          <w:rFonts w:ascii="Times New Roman" w:eastAsia="Times New Roman" w:hAnsi="Times New Roman" w:cs="Times New Roman"/>
          <w:sz w:val="28"/>
          <w:lang w:val="uk-UA"/>
        </w:rPr>
        <w:t xml:space="preserve"> (у т. числі мікро)</w:t>
      </w:r>
      <w:r>
        <w:rPr>
          <w:rFonts w:ascii="Times New Roman" w:eastAsia="Times New Roman" w:hAnsi="Times New Roman" w:cs="Times New Roman"/>
          <w:sz w:val="28"/>
        </w:rPr>
        <w:t xml:space="preserve"> підприємництва, на яких поширюється регулювання - </w:t>
      </w:r>
      <w:r>
        <w:rPr>
          <w:rFonts w:ascii="Times New Roman" w:eastAsia="Times New Roman" w:hAnsi="Times New Roman" w:cs="Times New Roman"/>
          <w:sz w:val="28"/>
          <w:u w:val="single"/>
        </w:rPr>
        <w:t>14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5259D" w:rsidRDefault="000C322A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питома вага суб’єктів малого підприємництва у загальній кіл</w:t>
      </w:r>
      <w:r w:rsidR="0085746D">
        <w:rPr>
          <w:rFonts w:ascii="Times New Roman" w:eastAsia="Times New Roman" w:hAnsi="Times New Roman" w:cs="Times New Roman"/>
          <w:sz w:val="28"/>
        </w:rPr>
        <w:t>ькості суб’єктів господарювання</w:t>
      </w:r>
      <w:r>
        <w:rPr>
          <w:rFonts w:ascii="Times New Roman" w:eastAsia="Times New Roman" w:hAnsi="Times New Roman" w:cs="Times New Roman"/>
          <w:sz w:val="28"/>
        </w:rPr>
        <w:t>, н</w:t>
      </w:r>
      <w:r w:rsidR="003617E8">
        <w:rPr>
          <w:rFonts w:ascii="Times New Roman" w:eastAsia="Times New Roman" w:hAnsi="Times New Roman" w:cs="Times New Roman"/>
          <w:sz w:val="28"/>
        </w:rPr>
        <w:t xml:space="preserve">а яких проблема справляє вплив </w:t>
      </w:r>
      <w:r>
        <w:rPr>
          <w:rFonts w:ascii="Times New Roman" w:eastAsia="Times New Roman" w:hAnsi="Times New Roman" w:cs="Times New Roman"/>
          <w:sz w:val="28"/>
        </w:rPr>
        <w:t>100% (відповідно до таблиці «Оцінка впливу на сферу інтересів суб’єктів господарювання»).</w:t>
      </w: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259D" w:rsidRDefault="000C322A" w:rsidP="00F4266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Розрахунок витрат суб’єктів малого підприємництва на виконання вимог регулювання.</w:t>
      </w:r>
    </w:p>
    <w:p w:rsidR="0075259D" w:rsidRDefault="0075259D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181"/>
        <w:gridCol w:w="1780"/>
        <w:gridCol w:w="1500"/>
        <w:gridCol w:w="1337"/>
      </w:tblGrid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Поряд-ковий номер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 оцінки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 перший рік (стартовий рік впровадження регулювання)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Періодичні (за наступний рік)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Витрати за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п’ять років</w:t>
            </w:r>
          </w:p>
        </w:tc>
      </w:tr>
      <w:tr w:rsidR="0075259D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Default="000C322A" w:rsidP="00F4266D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0C322A" w:rsidP="007B5C15">
            <w:pPr>
              <w:spacing w:before="150" w:after="150" w:line="240" w:lineRule="auto"/>
              <w:ind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 процедури (</w:t>
            </w:r>
            <w:r w:rsidR="007B5C15" w:rsidRPr="00464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Розміщення інформації в салонах автобусів щодо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</w:rPr>
              <w:t xml:space="preserve"> зміни тарифу (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</w:rPr>
              <w:t>0 грн.*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</w:rPr>
              <w:t xml:space="preserve"> автобусів = 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B5C15" w:rsidRPr="00464C11">
              <w:rPr>
                <w:rFonts w:ascii="Times New Roman" w:hAnsi="Times New Roman" w:cs="Times New Roman"/>
                <w:sz w:val="24"/>
                <w:szCs w:val="24"/>
              </w:rPr>
              <w:t>0,00 грн.)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B5C15" w:rsidP="007B5C15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280</w:t>
            </w:r>
            <w:r w:rsidR="005B2A42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,00</w:t>
            </w:r>
            <w:r w:rsidR="00A82E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5B2A42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грн.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464C11" w:rsidP="00F4266D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B5C15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280</w:t>
            </w:r>
            <w:r w:rsidR="005B2A42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,00</w:t>
            </w:r>
            <w:r w:rsidR="000C322A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Разом, гривень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B5C15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28</w:t>
            </w:r>
            <w:r w:rsidR="005B2A42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0</w:t>
            </w:r>
            <w:r w:rsidR="000C322A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,00 грн.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B5C15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28</w:t>
            </w:r>
            <w:r w:rsidR="005B2A42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0</w:t>
            </w:r>
            <w:r w:rsidR="000C322A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,00 грн.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Сумарно, гривень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5B2A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 х </w:t>
            </w:r>
            <w:r w:rsidR="007B5C15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28</w:t>
            </w: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0,00 грн.= </w:t>
            </w:r>
            <w:r w:rsidR="007B5C15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392</w:t>
            </w: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0,00 грн.</w:t>
            </w:r>
          </w:p>
        </w:tc>
      </w:tr>
      <w:tr w:rsidR="0075259D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right="281"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75259D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Відповідно до статті 8 Закону України «Про Державний бюджет України на 2021 рік» розмір мінімальної зарплати у 2021 році складає: у місячному розмірі – 6000 гривень; у погодинному розмірі – 36,11 гривень.</w:t>
            </w:r>
          </w:p>
          <w:p w:rsidR="0075259D" w:rsidRDefault="0075259D" w:rsidP="00F4266D">
            <w:pPr>
              <w:spacing w:after="0" w:line="240" w:lineRule="auto"/>
              <w:jc w:val="both"/>
            </w:pP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отримання первинної інформації про вимоги регулювання</w:t>
            </w:r>
          </w:p>
          <w:p w:rsidR="0075259D" w:rsidRDefault="000C322A" w:rsidP="00F4266D">
            <w:pPr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витрати часу на отримання інформації про регулювання (рішення виконавчого комітету міської ради)</w:t>
            </w:r>
          </w:p>
          <w:p w:rsidR="0075259D" w:rsidRDefault="0075259D" w:rsidP="00F4266D">
            <w:pPr>
              <w:spacing w:after="0" w:line="240" w:lineRule="auto"/>
              <w:ind w:left="302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Оціночно: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0,25 годин х 36,11 грн. = 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9,03 грн.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організації виконання вимог регулювання</w:t>
            </w:r>
          </w:p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Витрати часу на розроблення та впровадження внутрішніх для суб’єкта малого підприємництва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процедур на впровадження вимог регулювання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Оціночно: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5B2A42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</w:t>
            </w:r>
            <w:r w:rsidR="000C322A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година х </w:t>
            </w: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36,11 грн.</w:t>
            </w:r>
            <w:r w:rsidR="000C322A"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= 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72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22</w:t>
            </w:r>
            <w:r w:rsidR="000C32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грн.;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офіційного звітування</w:t>
            </w:r>
          </w:p>
          <w:p w:rsidR="0075259D" w:rsidRDefault="0075259D" w:rsidP="00F4266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259D" w:rsidRDefault="0075259D" w:rsidP="00F4266D">
            <w:pPr>
              <w:spacing w:after="0" w:line="240" w:lineRule="auto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Процедури щодо забезпечення процесу перевірок</w:t>
            </w:r>
          </w:p>
          <w:p w:rsidR="0075259D" w:rsidRDefault="0075259D" w:rsidP="00F4266D">
            <w:pPr>
              <w:spacing w:after="0" w:line="240" w:lineRule="auto"/>
              <w:ind w:left="182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75259D" w:rsidRDefault="0075259D" w:rsidP="00F4266D">
            <w:pPr>
              <w:spacing w:after="0" w:line="240" w:lineRule="auto"/>
              <w:jc w:val="center"/>
            </w:pP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Інші процедури (уточнити)</w:t>
            </w:r>
          </w:p>
          <w:p w:rsidR="0075259D" w:rsidRDefault="0075259D" w:rsidP="00F4266D">
            <w:pPr>
              <w:spacing w:after="0" w:line="240" w:lineRule="auto"/>
              <w:ind w:firstLine="182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Разом, гривень</w:t>
            </w:r>
          </w:p>
          <w:p w:rsidR="0075259D" w:rsidRDefault="0075259D" w:rsidP="00F4266D">
            <w:pPr>
              <w:spacing w:after="0" w:line="240" w:lineRule="auto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464C11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(9,03+</w:t>
            </w:r>
            <w:r w:rsidR="005B2A42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72,22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) = </w:t>
            </w:r>
            <w:r w:rsidR="003C63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81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="003C63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25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грн</w:t>
            </w:r>
            <w:r w:rsidRPr="00464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0C322A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14</w:t>
            </w:r>
          </w:p>
        </w:tc>
      </w:tr>
      <w:tr w:rsidR="0075259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Default="000C322A" w:rsidP="00F4266D">
            <w:pPr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Сумарно, гривень</w:t>
            </w:r>
          </w:p>
          <w:p w:rsidR="0075259D" w:rsidRDefault="0075259D" w:rsidP="00F4266D">
            <w:pPr>
              <w:spacing w:after="0" w:line="240" w:lineRule="auto"/>
              <w:ind w:firstLine="182"/>
              <w:jc w:val="center"/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59D" w:rsidRPr="00464C11" w:rsidRDefault="0075259D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75259D" w:rsidRPr="00464C11" w:rsidRDefault="003C63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81,25</w:t>
            </w:r>
            <w:r w:rsidR="000C32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х 14 = </w:t>
            </w:r>
            <w:r w:rsidR="005B2A42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137</w:t>
            </w:r>
            <w:r w:rsidR="000C32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50</w:t>
            </w:r>
            <w:r w:rsidR="000C322A" w:rsidRPr="00464C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грн.</w:t>
            </w:r>
          </w:p>
          <w:p w:rsidR="0075259D" w:rsidRPr="00464C11" w:rsidRDefault="0075259D" w:rsidP="00F4266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75259D" w:rsidRDefault="0075259D" w:rsidP="00F4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75259D" w:rsidP="00F4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Бюджетні витрати на адміністрування регулювання</w:t>
      </w:r>
      <w:r>
        <w:rPr>
          <w:rFonts w:ascii="Times New Roman" w:eastAsia="Times New Roman" w:hAnsi="Times New Roman" w:cs="Times New Roman"/>
          <w:b/>
          <w:sz w:val="28"/>
        </w:rPr>
        <w:br/>
        <w:t>суб’єктів малого підприємництва</w:t>
      </w:r>
    </w:p>
    <w:p w:rsidR="0075259D" w:rsidRDefault="0075259D" w:rsidP="00F4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75259D" w:rsidRDefault="000C322A" w:rsidP="00F4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Запропонований регуляторний акт не передбачає утворення нового державного органу (або нового структурного підрозділу діючого органу).</w:t>
      </w:r>
    </w:p>
    <w:p w:rsidR="0075259D" w:rsidRDefault="000C322A" w:rsidP="00F4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75259D" w:rsidRDefault="000C322A" w:rsidP="00F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Державний орган, для якого здійснюється розрахунок вартості адміністрування регулювання – Коломийськ</w:t>
      </w:r>
      <w:r w:rsidR="00801B90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міськ</w:t>
      </w:r>
      <w:r w:rsidR="00801B90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рад</w:t>
      </w:r>
      <w:r w:rsidR="00801B90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5259D" w:rsidRDefault="0075259D" w:rsidP="00F4266D">
      <w:pPr>
        <w:spacing w:before="120"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1126"/>
        <w:gridCol w:w="1504"/>
        <w:gridCol w:w="1487"/>
        <w:gridCol w:w="2285"/>
        <w:gridCol w:w="1293"/>
      </w:tblGrid>
      <w:tr w:rsidR="0075259D" w:rsidTr="007B5C15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A80A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Процедура регулювання суб’єктів </w:t>
            </w:r>
            <w:r w:rsidR="00A80A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підприємництв)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Планові витрати часу на процеду-ру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Вартість часу співробітни-ка органу державної влади відповідної категорії (заробітна плата)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Оцінка кількості  суб’єктів, що підпада-ють під дію процеду-ри регулюва-ння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Витрати на адміні-стрування регулюва-ння* (за рік), гривень</w:t>
            </w:r>
          </w:p>
        </w:tc>
      </w:tr>
      <w:tr w:rsidR="0075259D" w:rsidTr="007B5C15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5259D" w:rsidTr="007B5C15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Поточний контроль за суб’єктом господарювання, що перебуває у сфері регулювання, у тому числі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7B5C15" w:rsidRDefault="007B5C15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Камеральні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Виїзні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B5C15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Підготовка звітності за результатами регулювання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C15" w:rsidRDefault="007B5C15" w:rsidP="007B5C15">
            <w:pPr>
              <w:jc w:val="center"/>
            </w:pPr>
            <w:r w:rsidRPr="0009778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75259D" w:rsidTr="007B5C15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 Інші адміністративні процедури (уточнити)</w:t>
            </w:r>
          </w:p>
          <w:p w:rsidR="002250CC" w:rsidRPr="002250CC" w:rsidRDefault="002250CC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Внесення змін до договорів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36,11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505,54</w:t>
            </w:r>
          </w:p>
        </w:tc>
      </w:tr>
      <w:tr w:rsidR="002250CC" w:rsidTr="007B5C15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Pr="002250CC" w:rsidRDefault="002250CC" w:rsidP="00F4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8. Підготовка проекту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рішення та аналізу регуляторного впливу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36,11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0CC" w:rsidRDefault="002250CC" w:rsidP="002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2 599,92</w:t>
            </w:r>
          </w:p>
        </w:tc>
      </w:tr>
      <w:tr w:rsidR="0075259D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Разом за рік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2250C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3105,46</w:t>
            </w:r>
          </w:p>
        </w:tc>
      </w:tr>
      <w:tr w:rsidR="0075259D" w:rsidTr="007B5C15">
        <w:trPr>
          <w:jc w:val="center"/>
        </w:trPr>
        <w:tc>
          <w:tcPr>
            <w:tcW w:w="19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Сумарно за п’ять років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Default="000C322A" w:rsidP="00F42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59D" w:rsidRPr="00E9791E" w:rsidRDefault="002250CC" w:rsidP="00F4266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3105,46</w:t>
            </w:r>
          </w:p>
        </w:tc>
      </w:tr>
    </w:tbl>
    <w:p w:rsidR="00464C11" w:rsidRPr="00E9791E" w:rsidRDefault="00464C11" w:rsidP="00464C11">
      <w:pPr>
        <w:spacing w:after="240" w:line="240" w:lineRule="auto"/>
        <w:ind w:firstLine="5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Посадовими обов’язками </w:t>
      </w:r>
      <w:r w:rsidR="0080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працівника відділу</w:t>
      </w: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економіки Коломийської міської ради</w:t>
      </w: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передбачено здійснення вищенаведеної зазначеної діяльності, </w:t>
      </w: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E9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обто додаткових витрат на адміністрування регулювання не передбачається.</w:t>
      </w:r>
    </w:p>
    <w:p w:rsidR="0075259D" w:rsidRDefault="000C322A" w:rsidP="00F4266D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3370"/>
        <w:gridCol w:w="2401"/>
        <w:gridCol w:w="2276"/>
      </w:tblGrid>
      <w:tr w:rsidR="0075259D">
        <w:trPr>
          <w:trHeight w:val="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59D" w:rsidRDefault="000C322A" w:rsidP="00F4266D">
            <w:pPr>
              <w:spacing w:before="60" w:after="0" w:line="240" w:lineRule="auto"/>
              <w:ind w:left="-72" w:right="-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Порядковий номер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59D" w:rsidRDefault="000C322A" w:rsidP="00F4266D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Показник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59D" w:rsidRDefault="000C322A" w:rsidP="00F4266D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Перший рік регулювання (стартовий)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59D" w:rsidRDefault="000C322A" w:rsidP="00F4266D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п’ять років</w:t>
            </w:r>
          </w:p>
        </w:tc>
      </w:tr>
      <w:tr w:rsidR="0075259D">
        <w:trPr>
          <w:trHeight w:val="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ind w:left="-72" w:right="-80"/>
              <w:jc w:val="center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Оцінка «прямих» витрат суб’єктів малого підприємництва на виконання регулювання:</w:t>
            </w:r>
          </w:p>
          <w:p w:rsidR="0075259D" w:rsidRPr="00E9791E" w:rsidRDefault="0075259D" w:rsidP="00F4266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A80AF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392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0,00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(дані рядка 8 пункту 3 цього додатку)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A80AF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392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0,00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(дані рядка 8 пункту 3 цього додатку)</w:t>
            </w:r>
          </w:p>
        </w:tc>
      </w:tr>
      <w:tr w:rsidR="0075259D">
        <w:trPr>
          <w:trHeight w:val="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ind w:left="-72" w:right="-80"/>
              <w:jc w:val="center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3C632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1137,50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(дані рядка 16 пункту 3 цього додатка)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3C632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1137,50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(дані рядка 16 пункту 3 цього додатка)</w:t>
            </w:r>
          </w:p>
        </w:tc>
      </w:tr>
      <w:tr w:rsidR="0075259D">
        <w:trPr>
          <w:trHeight w:val="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ind w:left="-72" w:right="-80"/>
              <w:jc w:val="center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Сумарні витрати малого підприємництва на виконання </w:t>
            </w:r>
            <w:proofErr w:type="gramStart"/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запланованого  регулювання</w:t>
            </w:r>
            <w:proofErr w:type="gramEnd"/>
          </w:p>
          <w:p w:rsidR="0075259D" w:rsidRPr="00E9791E" w:rsidRDefault="0075259D" w:rsidP="00F4266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A80AF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5057</w:t>
            </w:r>
            <w:r w:rsidR="003C63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,50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(сума рядків 1 та 2 цієї таблиці)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A80AFA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5057</w:t>
            </w:r>
            <w:r w:rsidR="003C63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,50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(сума рядків 1 та 2 цієї таблиці)</w:t>
            </w:r>
          </w:p>
        </w:tc>
      </w:tr>
      <w:tr w:rsidR="0075259D">
        <w:trPr>
          <w:trHeight w:val="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ind w:left="-72" w:right="-80"/>
              <w:jc w:val="center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Бюджетні </w:t>
            </w:r>
            <w:proofErr w:type="gramStart"/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витрати  на</w:t>
            </w:r>
            <w:proofErr w:type="gramEnd"/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адміністрування регулювання суб’єктів малого підприємництва</w:t>
            </w:r>
          </w:p>
          <w:p w:rsidR="0075259D" w:rsidRPr="00E9791E" w:rsidRDefault="0075259D" w:rsidP="00F4266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2250CC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3105,46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(дані з таблиці “Бюджетні витрати на адміністрування регулювання суб’єктів малого підприємництва” цього додатка)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2250CC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3105,46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(дані з таблиці “Бюджетні витрати на адміністрування регулювання суб’єктів малого підприємництва” цього додатка)</w:t>
            </w:r>
          </w:p>
        </w:tc>
      </w:tr>
      <w:tr w:rsidR="0075259D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ind w:left="-72" w:right="-80"/>
              <w:jc w:val="center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Сумарні витрати на виконання запланованого регулювання</w:t>
            </w:r>
          </w:p>
          <w:p w:rsidR="0075259D" w:rsidRPr="00E9791E" w:rsidRDefault="0075259D" w:rsidP="00F4266D">
            <w:pPr>
              <w:spacing w:before="60"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0C322A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75259D" w:rsidRPr="00E9791E" w:rsidRDefault="00190F40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8162,96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F4266D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(сума рядків 3 та 4 цієї таблиці)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9D" w:rsidRPr="00E9791E" w:rsidRDefault="0075259D" w:rsidP="00F426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5259D" w:rsidRPr="00E9791E" w:rsidRDefault="00190F40" w:rsidP="00F4266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uk-UA"/>
              </w:rPr>
              <w:t>8162,96</w:t>
            </w:r>
            <w:r w:rsidR="000C322A"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грн.</w:t>
            </w:r>
          </w:p>
          <w:p w:rsidR="0075259D" w:rsidRPr="00E9791E" w:rsidRDefault="000C322A" w:rsidP="00D14FC5">
            <w:pPr>
              <w:spacing w:before="60" w:after="0" w:line="240" w:lineRule="auto"/>
              <w:rPr>
                <w:color w:val="000000" w:themeColor="text1"/>
              </w:rPr>
            </w:pPr>
            <w:r w:rsidRPr="00E9791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(сума рядків 3 та 4 цієї таблиці)</w:t>
            </w:r>
          </w:p>
        </w:tc>
      </w:tr>
    </w:tbl>
    <w:p w:rsidR="003651EE" w:rsidRDefault="003651EE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Default="000C322A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Розроблення корегуючих (пом’якшувальних) заходів для малого підприємництва щодо запропонованого регулювання </w:t>
      </w:r>
      <w:r w:rsidR="003617E8">
        <w:rPr>
          <w:rFonts w:ascii="Times New Roman" w:eastAsia="Times New Roman" w:hAnsi="Times New Roman" w:cs="Times New Roman"/>
          <w:sz w:val="28"/>
        </w:rPr>
        <w:t xml:space="preserve">не здійснюється, адже </w:t>
      </w:r>
      <w:r>
        <w:rPr>
          <w:rFonts w:ascii="Times New Roman" w:eastAsia="Times New Roman" w:hAnsi="Times New Roman" w:cs="Times New Roman"/>
          <w:sz w:val="28"/>
        </w:rPr>
        <w:t xml:space="preserve">сам проект рішення направлений на фінансову підтримку суб’єктів </w:t>
      </w:r>
      <w:r>
        <w:rPr>
          <w:rFonts w:ascii="Times New Roman" w:eastAsia="Times New Roman" w:hAnsi="Times New Roman" w:cs="Times New Roman"/>
          <w:sz w:val="28"/>
        </w:rPr>
        <w:lastRenderedPageBreak/>
        <w:t>господарювання, в тому числі суб’єктів малого підприємництва, з метою створення умов для забезпечення беззбиткової їх діяльності.</w:t>
      </w:r>
    </w:p>
    <w:p w:rsidR="00D14FC5" w:rsidRDefault="00D14FC5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651EE" w:rsidRDefault="003651EE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651EE" w:rsidRDefault="003651EE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651EE" w:rsidRDefault="003651EE" w:rsidP="00F4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259D" w:rsidRPr="00D14FC5" w:rsidRDefault="000C322A" w:rsidP="00F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4FC5">
        <w:rPr>
          <w:rFonts w:ascii="Times New Roman" w:eastAsia="Times New Roman" w:hAnsi="Times New Roman" w:cs="Times New Roman"/>
          <w:b/>
          <w:sz w:val="28"/>
        </w:rPr>
        <w:t xml:space="preserve">Начальник </w:t>
      </w:r>
      <w:r w:rsidR="00801B90">
        <w:rPr>
          <w:rFonts w:ascii="Times New Roman" w:eastAsia="Times New Roman" w:hAnsi="Times New Roman" w:cs="Times New Roman"/>
          <w:b/>
          <w:sz w:val="28"/>
          <w:lang w:val="uk-UA"/>
        </w:rPr>
        <w:t>відділу</w:t>
      </w:r>
      <w:r w:rsidRPr="00D14FC5">
        <w:rPr>
          <w:rFonts w:ascii="Times New Roman" w:eastAsia="Times New Roman" w:hAnsi="Times New Roman" w:cs="Times New Roman"/>
          <w:b/>
          <w:sz w:val="28"/>
        </w:rPr>
        <w:t xml:space="preserve"> економіки</w:t>
      </w:r>
    </w:p>
    <w:p w:rsidR="0075259D" w:rsidRDefault="000C32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14FC5">
        <w:rPr>
          <w:rFonts w:ascii="Times New Roman" w:eastAsia="Times New Roman" w:hAnsi="Times New Roman" w:cs="Times New Roman"/>
          <w:b/>
          <w:sz w:val="28"/>
        </w:rPr>
        <w:t>Коломийської міської ради</w:t>
      </w:r>
      <w:r w:rsidRPr="00D14FC5">
        <w:rPr>
          <w:rFonts w:ascii="Times New Roman" w:eastAsia="Times New Roman" w:hAnsi="Times New Roman" w:cs="Times New Roman"/>
          <w:b/>
          <w:sz w:val="28"/>
        </w:rPr>
        <w:tab/>
      </w:r>
      <w:r w:rsidRPr="00464C11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464C11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Pr="00464C11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proofErr w:type="gramStart"/>
      <w:r w:rsidRPr="00464C11">
        <w:rPr>
          <w:rFonts w:ascii="Times New Roman" w:eastAsia="Times New Roman" w:hAnsi="Times New Roman" w:cs="Times New Roman"/>
          <w:b/>
          <w:sz w:val="28"/>
        </w:rPr>
        <w:t>Світлана  СЕНЮК</w:t>
      </w:r>
      <w:proofErr w:type="gramEnd"/>
    </w:p>
    <w:sectPr w:rsidR="0075259D" w:rsidSect="000C32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00C"/>
    <w:multiLevelType w:val="multilevel"/>
    <w:tmpl w:val="AA808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B6F15"/>
    <w:multiLevelType w:val="hybridMultilevel"/>
    <w:tmpl w:val="D8F857D8"/>
    <w:lvl w:ilvl="0" w:tplc="43183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6A69"/>
    <w:multiLevelType w:val="multilevel"/>
    <w:tmpl w:val="13A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AE27A8"/>
    <w:multiLevelType w:val="multilevel"/>
    <w:tmpl w:val="144AB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9D"/>
    <w:rsid w:val="000C322A"/>
    <w:rsid w:val="00190F40"/>
    <w:rsid w:val="001F3524"/>
    <w:rsid w:val="002250CC"/>
    <w:rsid w:val="00303F16"/>
    <w:rsid w:val="003617E8"/>
    <w:rsid w:val="003651EE"/>
    <w:rsid w:val="003C632A"/>
    <w:rsid w:val="00464C11"/>
    <w:rsid w:val="00475F0C"/>
    <w:rsid w:val="0051121D"/>
    <w:rsid w:val="00522069"/>
    <w:rsid w:val="00535356"/>
    <w:rsid w:val="00555486"/>
    <w:rsid w:val="005B2A42"/>
    <w:rsid w:val="006346F7"/>
    <w:rsid w:val="00675D19"/>
    <w:rsid w:val="006E1A84"/>
    <w:rsid w:val="0075259D"/>
    <w:rsid w:val="007B5C15"/>
    <w:rsid w:val="007E6BCC"/>
    <w:rsid w:val="00801B90"/>
    <w:rsid w:val="00846AFC"/>
    <w:rsid w:val="0085746D"/>
    <w:rsid w:val="00A00138"/>
    <w:rsid w:val="00A80AFA"/>
    <w:rsid w:val="00A82E95"/>
    <w:rsid w:val="00A92E02"/>
    <w:rsid w:val="00B26F31"/>
    <w:rsid w:val="00B515DF"/>
    <w:rsid w:val="00BC33E2"/>
    <w:rsid w:val="00C15807"/>
    <w:rsid w:val="00C31F96"/>
    <w:rsid w:val="00C32712"/>
    <w:rsid w:val="00D14FC5"/>
    <w:rsid w:val="00D60542"/>
    <w:rsid w:val="00DE1B57"/>
    <w:rsid w:val="00E9791E"/>
    <w:rsid w:val="00EB7D33"/>
    <w:rsid w:val="00F4266D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238B"/>
  <w15:docId w15:val="{7B2B9470-E2EA-4900-B5CD-230B9F5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18465</Words>
  <Characters>10526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 Олена Іванівна</dc:creator>
  <cp:lastModifiedBy>Остяк Олена Іванівна</cp:lastModifiedBy>
  <cp:revision>4</cp:revision>
  <cp:lastPrinted>2021-12-07T07:22:00Z</cp:lastPrinted>
  <dcterms:created xsi:type="dcterms:W3CDTF">2021-12-06T11:26:00Z</dcterms:created>
  <dcterms:modified xsi:type="dcterms:W3CDTF">2021-12-07T07:22:00Z</dcterms:modified>
</cp:coreProperties>
</file>